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ascii="微软雅黑" w:hAnsi="微软雅黑" w:eastAsia="微软雅黑"/>
          <w:b/>
          <w:bCs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shd w:val="clear" w:color="auto" w:fill="FFFFFF"/>
        </w:rPr>
        <w:t>农业现代化与乡村振兴研究</w:t>
      </w:r>
      <w:r>
        <w:rPr>
          <w:rFonts w:ascii="微软雅黑" w:hAnsi="微软雅黑" w:eastAsia="微软雅黑"/>
          <w:b/>
          <w:bCs/>
          <w:sz w:val="36"/>
          <w:szCs w:val="36"/>
          <w:shd w:val="clear" w:color="auto" w:fill="FFFFFF"/>
        </w:rPr>
        <w:t>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hint="eastAsia" w:ascii="微软雅黑" w:hAnsi="微软雅黑" w:eastAsia="微软雅黑"/>
          <w:b/>
          <w:bCs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shd w:val="clear" w:color="auto" w:fill="FFFFFF"/>
        </w:rPr>
        <w:t>2</w:t>
      </w:r>
      <w:r>
        <w:rPr>
          <w:rFonts w:ascii="微软雅黑" w:hAnsi="微软雅黑" w:eastAsia="微软雅黑"/>
          <w:b/>
          <w:bCs/>
          <w:sz w:val="36"/>
          <w:szCs w:val="36"/>
          <w:shd w:val="clear" w:color="auto" w:fill="FFFFFF"/>
        </w:rPr>
        <w:t>022</w:t>
      </w:r>
      <w:r>
        <w:rPr>
          <w:rFonts w:hint="eastAsia" w:ascii="微软雅黑" w:hAnsi="微软雅黑" w:eastAsia="微软雅黑"/>
          <w:b/>
          <w:bCs/>
          <w:sz w:val="36"/>
          <w:szCs w:val="36"/>
          <w:shd w:val="clear" w:color="auto" w:fill="FFFFFF"/>
        </w:rPr>
        <w:t>年度课题指南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center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中国共产党农业农村现代化的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理论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与实践研究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举全党全社会之力加快农业农村现代化建设研究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农业农村现代化与国家现代化的关系研究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加快建设农业强国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完善农村基本经营制度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农村集体产权制度改革研究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乡村振兴与共同富裕研究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以县城为载体的新型城镇化建设研究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乡村振兴战略下特色小镇带动城乡融合发展研究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打造新时代更高水平“天府粮仓”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instrText xml:space="preserve"> HYPERLINK "https://webvpn.swufe.edu.cn/https/77726476706e69737468656265737421faf8548e693264496b06c7af9758/views/specific/3004/JourDetail.jsp?dxNumber=100289035608&amp;fenlei=0604030408&amp;d=230CFA2F09FB4089F9F865DF980D5100&amp;s=%E4%B9%A1%E6%9D%91%E6%8C%AF%E5%85%B4%E8%83%8C%E6%99%AF++++++%E5%93%81%E7%89%8C%E6%89%93%E9%80%A0&amp;ecode=utf-8" \t "https://webvpn.swufe.edu.cn/https/77726476706e69737468656265737421faf8548e693264496b06c7af9758/_blank" </w:instrTex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乡村振兴背景下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特色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农产品品牌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打造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乡村振兴视域下“数字农业”的创新实践研究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乡村振兴背景下农村电商物流人才可持续培养路径研究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川西北高原区畜牧生产模式与机械化发展路径研究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耕地保护视阈下土地复垦机械需求的调查研究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乡村振兴背景下农村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人力资源开发的法治保障研究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农业转移人口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市民化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农村失能老人养老困境与治理对策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民族社会工作助力乡村振兴路径研究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新时代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乡风文明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乡村振兴中的语言文化建设研究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建设宜居宜业和美乡村</w:t>
      </w: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农耕文化遗产景观规划与设计研究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新农村文化景观规划与设计研究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农耕文化知识图谱设计研究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传统农具信息可视化设计研究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3" w:righ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  <w:shd w:val="clear" w:color="auto" w:fill="FFFFFF"/>
        </w:rPr>
        <w:t>乡村振兴考核机制研究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1A8B1"/>
    <w:multiLevelType w:val="singleLevel"/>
    <w:tmpl w:val="B1F1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zFhYmI5OWI2ZGIxYmU2YzcwNWM5OTQzYjlmMzgifQ=="/>
  </w:docVars>
  <w:rsids>
    <w:rsidRoot w:val="00000000"/>
    <w:rsid w:val="11554D99"/>
    <w:rsid w:val="3ABE33EC"/>
    <w:rsid w:val="4DB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456</Characters>
  <Lines>0</Lines>
  <Paragraphs>0</Paragraphs>
  <TotalTime>6</TotalTime>
  <ScaleCrop>false</ScaleCrop>
  <LinksUpToDate>false</LinksUpToDate>
  <CharactersWithSpaces>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2022-11-10T03:28:38Z</dcterms:created>
  <dc:creator>Administrator</dc:creator>
  <cp:lastModifiedBy>郑小明</cp:lastModifiedBy>
  <dcterms:modified xsi:type="dcterms:W3CDTF">2022-11-10T05:13:43Z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2526540C7F6A4CAB87D2D033242EE3E7</vt:lpwstr>
  </property>
</Properties>
</file>